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F1" w:rsidRDefault="005C4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tbl>
      <w:tblPr>
        <w:tblStyle w:val="a"/>
        <w:tblW w:w="125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560"/>
        <w:gridCol w:w="7654"/>
        <w:gridCol w:w="425"/>
        <w:gridCol w:w="459"/>
        <w:gridCol w:w="459"/>
        <w:gridCol w:w="460"/>
        <w:gridCol w:w="459"/>
        <w:gridCol w:w="460"/>
      </w:tblGrid>
      <w:tr w:rsidR="005C46F1">
        <w:trPr>
          <w:trHeight w:val="610"/>
          <w:jc w:val="center"/>
        </w:trPr>
        <w:tc>
          <w:tcPr>
            <w:tcW w:w="2191" w:type="dxa"/>
            <w:gridSpan w:val="2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Ciclo: </w:t>
            </w:r>
          </w:p>
        </w:tc>
        <w:tc>
          <w:tcPr>
            <w:tcW w:w="7654" w:type="dxa"/>
            <w:vMerge w:val="restart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Proceso/unidad auditable:</w:t>
            </w:r>
            <w:r>
              <w:rPr>
                <w:b/>
                <w:color w:val="000000"/>
                <w:u w:val="single"/>
              </w:rPr>
              <w:t xml:space="preserve"> </w:t>
            </w:r>
          </w:p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Auditado: </w:t>
            </w:r>
          </w:p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Auditor: </w:t>
            </w:r>
          </w:p>
        </w:tc>
        <w:tc>
          <w:tcPr>
            <w:tcW w:w="2722" w:type="dxa"/>
            <w:gridSpan w:val="6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Fecha</w:t>
            </w:r>
          </w:p>
        </w:tc>
      </w:tr>
      <w:tr w:rsidR="005C46F1">
        <w:trPr>
          <w:trHeight w:val="240"/>
          <w:jc w:val="center"/>
        </w:trPr>
        <w:tc>
          <w:tcPr>
            <w:tcW w:w="2191" w:type="dxa"/>
            <w:gridSpan w:val="2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Auditoría No.: </w:t>
            </w:r>
          </w:p>
        </w:tc>
        <w:tc>
          <w:tcPr>
            <w:tcW w:w="7654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722" w:type="dxa"/>
            <w:gridSpan w:val="6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46F1">
        <w:trPr>
          <w:trHeight w:val="240"/>
          <w:jc w:val="center"/>
        </w:trPr>
        <w:tc>
          <w:tcPr>
            <w:tcW w:w="12567" w:type="dxa"/>
            <w:gridSpan w:val="9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 el fin de mejorar el desempeño de los auditores, agradecemos  evaluar al personal que realizó el proceso de auditoría en su proceso o área con el fin de darle continuidad a las competencias de los auditores Internos de la Alcaldía de Fusagasugá. Su obj</w:t>
            </w:r>
            <w:r>
              <w:rPr>
                <w:color w:val="000000"/>
              </w:rPr>
              <w:t xml:space="preserve">etividad es muy importante para las decisiones que se deriven de su análisis independientemente de los resultados que obtuvo de la revisión. </w:t>
            </w:r>
          </w:p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Gracias. </w:t>
            </w:r>
          </w:p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 calificación  se debe ordenar en una escala de valores de 1 a 5, así: </w:t>
            </w:r>
          </w:p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1= Deficiente, 2= Regular, 3= </w:t>
            </w:r>
            <w:r>
              <w:rPr>
                <w:color w:val="000000"/>
              </w:rPr>
              <w:t xml:space="preserve">Aceptable, 4= Bueno y 5= Excelente.   </w:t>
            </w:r>
          </w:p>
        </w:tc>
      </w:tr>
      <w:tr w:rsidR="005C46F1">
        <w:trPr>
          <w:trHeight w:val="240"/>
          <w:jc w:val="center"/>
        </w:trPr>
        <w:tc>
          <w:tcPr>
            <w:tcW w:w="631" w:type="dxa"/>
            <w:vMerge w:val="restart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Auditoría </w:t>
            </w: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Aspectos</w:t>
            </w:r>
          </w:p>
        </w:tc>
        <w:tc>
          <w:tcPr>
            <w:tcW w:w="459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9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0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9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60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 Oportunidad en la notificación del plan de auditoría (Agenda de reuniones).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2. Claridad en la notificación del plan de auditoría.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3. Coherencia entre la metodología utilizada y el alcance planteado.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 Enfoque y orientación de la auditoría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 Horario de la auditoría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C46F1">
        <w:trPr>
          <w:trHeight w:val="24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ind w:left="0" w:hanging="2"/>
            </w:pPr>
            <w:r>
              <w:t>6. Cómo calificaría la auditoría en general.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46F1">
        <w:trPr>
          <w:trHeight w:val="240"/>
          <w:jc w:val="center"/>
        </w:trPr>
        <w:tc>
          <w:tcPr>
            <w:tcW w:w="631" w:type="dxa"/>
            <w:vMerge w:val="restart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Auditor</w:t>
            </w: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Aspectos</w:t>
            </w:r>
          </w:p>
        </w:tc>
        <w:tc>
          <w:tcPr>
            <w:tcW w:w="459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9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0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9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60" w:type="dxa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 Cumplimiento del horario de las reuniones de auditoría.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2. Claridad de las preguntas realizadas durante la entrevista</w:t>
            </w:r>
            <w:r>
              <w:rPr>
                <w:color w:val="FF0000"/>
              </w:rPr>
              <w:t>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</w:tcPr>
          <w:p w:rsidR="005C46F1" w:rsidRDefault="005C46F1">
            <w:pPr>
              <w:ind w:left="0" w:hanging="2"/>
            </w:pP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ind w:left="0" w:hanging="2"/>
            </w:pPr>
            <w:r>
              <w:t>3. Orden y coherencia de las preguntas de la auditoría.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</w:tcPr>
          <w:p w:rsidR="005C46F1" w:rsidRDefault="005C46F1">
            <w:pPr>
              <w:ind w:left="0" w:hanging="2"/>
            </w:pP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ind w:left="0" w:hanging="2"/>
            </w:pPr>
            <w:r>
              <w:t>4. Capacidad de análisis y observación de los procesos auditados.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</w:tcPr>
          <w:p w:rsidR="005C46F1" w:rsidRDefault="005C46F1">
            <w:pPr>
              <w:ind w:left="0" w:hanging="2"/>
            </w:pP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ind w:left="0" w:hanging="2"/>
              <w:rPr>
                <w:color w:val="FF0000"/>
              </w:rPr>
            </w:pPr>
            <w:r>
              <w:t>5. Eficiencia en el uso de tiempo de auditoría.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</w:tcPr>
          <w:p w:rsidR="005C46F1" w:rsidRDefault="005C46F1">
            <w:pPr>
              <w:ind w:left="0" w:hanging="2"/>
            </w:pPr>
          </w:p>
        </w:tc>
      </w:tr>
      <w:tr w:rsidR="005C46F1">
        <w:trPr>
          <w:trHeight w:val="70"/>
          <w:jc w:val="center"/>
        </w:trPr>
        <w:tc>
          <w:tcPr>
            <w:tcW w:w="631" w:type="dxa"/>
            <w:vMerge/>
            <w:vAlign w:val="center"/>
          </w:tcPr>
          <w:p w:rsidR="005C46F1" w:rsidRDefault="005C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639" w:type="dxa"/>
            <w:gridSpan w:val="3"/>
            <w:vAlign w:val="center"/>
          </w:tcPr>
          <w:p w:rsidR="005C46F1" w:rsidRDefault="00C63975">
            <w:pPr>
              <w:ind w:left="0" w:hanging="2"/>
            </w:pPr>
            <w:r>
              <w:t>6. Ecuanimidad y respeto en el trato con los entrevistados.</w:t>
            </w: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9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5C46F1">
        <w:trPr>
          <w:trHeight w:val="532"/>
          <w:jc w:val="center"/>
        </w:trPr>
        <w:tc>
          <w:tcPr>
            <w:tcW w:w="12567" w:type="dxa"/>
            <w:gridSpan w:val="9"/>
            <w:vAlign w:val="center"/>
          </w:tcPr>
          <w:p w:rsidR="005C46F1" w:rsidRDefault="00C63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Observaciones:</w:t>
            </w:r>
          </w:p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  <w:p w:rsidR="005C46F1" w:rsidRDefault="005C4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5C46F1" w:rsidRDefault="005C46F1">
      <w:pPr>
        <w:ind w:left="0" w:hanging="2"/>
      </w:pPr>
    </w:p>
    <w:p w:rsidR="005C46F1" w:rsidRDefault="005C46F1">
      <w:pPr>
        <w:ind w:left="0" w:hanging="2"/>
      </w:pPr>
    </w:p>
    <w:p w:rsidR="005C46F1" w:rsidRDefault="005C46F1">
      <w:pPr>
        <w:ind w:left="0" w:hanging="2"/>
      </w:pPr>
    </w:p>
    <w:p w:rsidR="005C46F1" w:rsidRDefault="00C63975">
      <w:pPr>
        <w:ind w:left="0" w:hanging="2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101600</wp:posOffset>
                </wp:positionV>
                <wp:extent cx="2244725" cy="349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8400" y="3767300"/>
                          <a:ext cx="2235200" cy="25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101600</wp:posOffset>
                </wp:positionV>
                <wp:extent cx="2244725" cy="349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25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46F1" w:rsidRDefault="00C63975">
      <w:pPr>
        <w:ind w:left="0" w:hanging="2"/>
      </w:pPr>
      <w:r>
        <w:t>Firma del Funcionario que evalúa</w:t>
      </w:r>
    </w:p>
    <w:p w:rsidR="005C46F1" w:rsidRDefault="005C46F1">
      <w:pPr>
        <w:ind w:left="0" w:hanging="2"/>
      </w:pPr>
    </w:p>
    <w:p w:rsidR="005C46F1" w:rsidRDefault="005C46F1">
      <w:pPr>
        <w:ind w:left="0" w:hanging="2"/>
      </w:pPr>
    </w:p>
    <w:p w:rsidR="005C46F1" w:rsidRDefault="005C46F1">
      <w:pPr>
        <w:ind w:left="0" w:hanging="2"/>
      </w:pPr>
    </w:p>
    <w:p w:rsidR="005C46F1" w:rsidRDefault="005C46F1">
      <w:pPr>
        <w:ind w:left="0" w:hanging="2"/>
      </w:pPr>
    </w:p>
    <w:p w:rsidR="005C46F1" w:rsidRDefault="005C46F1">
      <w:pPr>
        <w:ind w:left="0" w:hanging="2"/>
      </w:pPr>
    </w:p>
    <w:sectPr w:rsidR="005C4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/>
      <w:pgMar w:top="899" w:right="1418" w:bottom="71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3975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C639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1" w:rsidRDefault="005C4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1" w:rsidRDefault="005C4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1" w:rsidRDefault="005C4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3975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C639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1" w:rsidRDefault="00C639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C46F1" w:rsidRDefault="005C4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1" w:rsidRDefault="005C46F1">
    <w:pPr>
      <w:ind w:left="0" w:hanging="2"/>
    </w:pPr>
  </w:p>
  <w:p w:rsidR="005C46F1" w:rsidRDefault="005C4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tbl>
    <w:tblPr>
      <w:tblStyle w:val="a0"/>
      <w:tblW w:w="12473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2"/>
      <w:gridCol w:w="992"/>
      <w:gridCol w:w="4678"/>
      <w:gridCol w:w="1134"/>
      <w:gridCol w:w="2977"/>
    </w:tblGrid>
    <w:tr w:rsidR="005C46F1">
      <w:trPr>
        <w:trHeight w:val="422"/>
      </w:trPr>
      <w:tc>
        <w:tcPr>
          <w:tcW w:w="2693" w:type="dxa"/>
          <w:vMerge w:val="restart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71120</wp:posOffset>
                </wp:positionV>
                <wp:extent cx="871220" cy="9144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gridSpan w:val="3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EVALUACION DE AUDITORES INTERNOS</w:t>
          </w:r>
        </w:p>
      </w:tc>
      <w:tc>
        <w:tcPr>
          <w:tcW w:w="2977" w:type="dxa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Código: FO-CSG-010</w:t>
          </w:r>
        </w:p>
      </w:tc>
    </w:tr>
    <w:tr w:rsidR="005C46F1">
      <w:trPr>
        <w:trHeight w:val="302"/>
      </w:trPr>
      <w:tc>
        <w:tcPr>
          <w:tcW w:w="2693" w:type="dxa"/>
          <w:vMerge/>
          <w:vAlign w:val="center"/>
        </w:tcPr>
        <w:p w:rsidR="005C46F1" w:rsidRDefault="005C46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6804" w:type="dxa"/>
          <w:gridSpan w:val="3"/>
          <w:vMerge w:val="restart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PROCESO CONTROL Y SEGUIMIENTO</w:t>
          </w:r>
        </w:p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DE LA GESTIÓN</w:t>
          </w:r>
        </w:p>
      </w:tc>
      <w:tc>
        <w:tcPr>
          <w:tcW w:w="2977" w:type="dxa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Versión: </w:t>
          </w:r>
          <w:r>
            <w:rPr>
              <w:b/>
              <w:sz w:val="22"/>
              <w:szCs w:val="22"/>
            </w:rPr>
            <w:t>3</w:t>
          </w:r>
          <w:bookmarkStart w:id="0" w:name="_GoBack"/>
          <w:bookmarkEnd w:id="0"/>
        </w:p>
      </w:tc>
    </w:tr>
    <w:tr w:rsidR="005C46F1">
      <w:trPr>
        <w:trHeight w:val="452"/>
      </w:trPr>
      <w:tc>
        <w:tcPr>
          <w:tcW w:w="2693" w:type="dxa"/>
          <w:vMerge/>
          <w:vAlign w:val="center"/>
        </w:tcPr>
        <w:p w:rsidR="005C46F1" w:rsidRDefault="005C46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6804" w:type="dxa"/>
          <w:gridSpan w:val="3"/>
          <w:vMerge/>
          <w:vAlign w:val="center"/>
        </w:tcPr>
        <w:p w:rsidR="005C46F1" w:rsidRDefault="005C46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2977" w:type="dxa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Fecha de aprobación: </w:t>
          </w:r>
          <w:r>
            <w:rPr>
              <w:b/>
              <w:sz w:val="22"/>
              <w:szCs w:val="22"/>
            </w:rPr>
            <w:t>08  de Noviembre  2021</w:t>
          </w:r>
        </w:p>
      </w:tc>
    </w:tr>
    <w:tr w:rsidR="005C46F1">
      <w:trPr>
        <w:trHeight w:val="452"/>
      </w:trPr>
      <w:tc>
        <w:tcPr>
          <w:tcW w:w="2693" w:type="dxa"/>
          <w:vMerge/>
          <w:vAlign w:val="center"/>
        </w:tcPr>
        <w:p w:rsidR="005C46F1" w:rsidRDefault="005C46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6804" w:type="dxa"/>
          <w:gridSpan w:val="3"/>
          <w:vMerge/>
          <w:vAlign w:val="center"/>
        </w:tcPr>
        <w:p w:rsidR="005C46F1" w:rsidRDefault="005C46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2977" w:type="dxa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Página: </w:t>
          </w:r>
          <w:r>
            <w:rPr>
              <w:b/>
              <w:color w:val="000000"/>
              <w:sz w:val="22"/>
              <w:szCs w:val="22"/>
            </w:rPr>
            <w:fldChar w:fldCharType="begin"/>
          </w:r>
          <w:r>
            <w:rPr>
              <w:b/>
              <w:color w:val="000000"/>
              <w:sz w:val="22"/>
              <w:szCs w:val="22"/>
            </w:rPr>
            <w:instrText>PAGE</w:instrText>
          </w:r>
          <w:r>
            <w:rPr>
              <w:b/>
              <w:color w:val="000000"/>
              <w:sz w:val="22"/>
              <w:szCs w:val="22"/>
            </w:rPr>
            <w:fldChar w:fldCharType="separate"/>
          </w:r>
          <w:r>
            <w:rPr>
              <w:b/>
              <w:noProof/>
              <w:color w:val="000000"/>
              <w:sz w:val="22"/>
              <w:szCs w:val="22"/>
            </w:rPr>
            <w:t>1</w:t>
          </w:r>
          <w:r>
            <w:rPr>
              <w:b/>
              <w:color w:val="000000"/>
              <w:sz w:val="22"/>
              <w:szCs w:val="22"/>
            </w:rPr>
            <w:fldChar w:fldCharType="end"/>
          </w:r>
          <w:r>
            <w:rPr>
              <w:b/>
              <w:color w:val="000000"/>
              <w:sz w:val="22"/>
              <w:szCs w:val="22"/>
            </w:rPr>
            <w:t xml:space="preserve"> de </w:t>
          </w:r>
          <w:r>
            <w:rPr>
              <w:b/>
              <w:color w:val="000000"/>
              <w:sz w:val="22"/>
              <w:szCs w:val="22"/>
            </w:rPr>
            <w:fldChar w:fldCharType="begin"/>
          </w:r>
          <w:r>
            <w:rPr>
              <w:b/>
              <w:color w:val="000000"/>
              <w:sz w:val="22"/>
              <w:szCs w:val="22"/>
            </w:rPr>
            <w:instrText>NUMPAGES</w:instrText>
          </w:r>
          <w:r>
            <w:rPr>
              <w:b/>
              <w:color w:val="000000"/>
              <w:sz w:val="22"/>
              <w:szCs w:val="22"/>
            </w:rPr>
            <w:fldChar w:fldCharType="separate"/>
          </w:r>
          <w:r>
            <w:rPr>
              <w:b/>
              <w:noProof/>
              <w:color w:val="000000"/>
              <w:sz w:val="22"/>
              <w:szCs w:val="22"/>
            </w:rPr>
            <w:t>2</w:t>
          </w:r>
          <w:r>
            <w:rPr>
              <w:b/>
              <w:color w:val="000000"/>
              <w:sz w:val="22"/>
              <w:szCs w:val="22"/>
            </w:rPr>
            <w:fldChar w:fldCharType="end"/>
          </w:r>
        </w:p>
      </w:tc>
    </w:tr>
    <w:tr w:rsidR="005C46F1">
      <w:trPr>
        <w:trHeight w:val="452"/>
      </w:trPr>
      <w:tc>
        <w:tcPr>
          <w:tcW w:w="3685" w:type="dxa"/>
          <w:gridSpan w:val="2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</w:rPr>
            <w:t>Elaboró: Jefe Oficina de Control Interno</w:t>
          </w:r>
        </w:p>
      </w:tc>
      <w:tc>
        <w:tcPr>
          <w:tcW w:w="4678" w:type="dxa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</w:rPr>
            <w:t>Revisó: Jefe Oficina de Control Interno</w:t>
          </w:r>
        </w:p>
      </w:tc>
      <w:tc>
        <w:tcPr>
          <w:tcW w:w="4111" w:type="dxa"/>
          <w:gridSpan w:val="2"/>
          <w:vAlign w:val="center"/>
        </w:tcPr>
        <w:p w:rsidR="005C46F1" w:rsidRDefault="00C639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</w:rPr>
            <w:t>Aprobó: Comité Técnico de Calidad</w:t>
          </w:r>
        </w:p>
      </w:tc>
    </w:tr>
  </w:tbl>
  <w:p w:rsidR="005C46F1" w:rsidRDefault="005C4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5C46F1" w:rsidRDefault="005C4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1" w:rsidRDefault="005C4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1"/>
    <w:rsid w:val="005C46F1"/>
    <w:rsid w:val="00C6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9EF74C5F-1663-42CC-BBD6-6F205568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napToGrid w:val="0"/>
      <w:color w:val="FF0000"/>
    </w:rPr>
  </w:style>
  <w:style w:type="paragraph" w:styleId="Ttulo4">
    <w:name w:val="heading 4"/>
    <w:basedOn w:val="Normal"/>
    <w:next w:val="Normal"/>
    <w:pPr>
      <w:keepNext/>
      <w:outlineLvl w:val="3"/>
    </w:pPr>
    <w:rPr>
      <w:snapToGrid w:val="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tilo1">
    <w:name w:val="Estilo1"/>
    <w:basedOn w:val="Normal"/>
    <w:pPr>
      <w:jc w:val="center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rPr>
      <w:sz w:val="22"/>
      <w:lang w:val="es-CO" w:eastAsia="es-CO"/>
    </w:rPr>
  </w:style>
  <w:style w:type="character" w:customStyle="1" w:styleId="TextoindependienteCar">
    <w:name w:val="Texto independiente Car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fx/A0x7RSKE+ZgcONnT+c0LnQ==">AMUW2mVXVHRkqsUDN4WOVOc81gyNR2cM6FGnuCX8wykWS2eQMEE5GzGRQKrmPnWkIjQ2uNLVJpK9f76hPo1DK+jFvAQcNdjaECujzbE3y7oMQZdXiZo/34Q=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PATRICIA CASTILLO RANGEL - JEFE OFICINA DE CONTROL INTERNO</dc:creator>
  <cp:lastModifiedBy>Admin</cp:lastModifiedBy>
  <cp:revision>2</cp:revision>
  <dcterms:created xsi:type="dcterms:W3CDTF">2020-05-21T19:35:00Z</dcterms:created>
  <dcterms:modified xsi:type="dcterms:W3CDTF">2021-11-11T15:52:00Z</dcterms:modified>
</cp:coreProperties>
</file>